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BA1" w14:textId="369090B8" w:rsidR="003E0F51" w:rsidRPr="00B43AC4" w:rsidRDefault="003E0F51">
      <w:pPr>
        <w:rPr>
          <w:b/>
          <w:sz w:val="24"/>
        </w:rPr>
      </w:pPr>
      <w:r w:rsidRPr="00B43AC4">
        <w:rPr>
          <w:b/>
          <w:sz w:val="24"/>
        </w:rPr>
        <w:t>Welcome to the West Central Distr</w:t>
      </w:r>
      <w:r w:rsidR="009A626B" w:rsidRPr="00B43AC4">
        <w:rPr>
          <w:b/>
          <w:sz w:val="24"/>
        </w:rPr>
        <w:t xml:space="preserve">ict </w:t>
      </w:r>
      <w:r w:rsidR="00FF02E0">
        <w:rPr>
          <w:b/>
          <w:sz w:val="24"/>
        </w:rPr>
        <w:t>3</w:t>
      </w:r>
      <w:r w:rsidR="009A626B" w:rsidRPr="00B43AC4">
        <w:rPr>
          <w:b/>
          <w:sz w:val="24"/>
        </w:rPr>
        <w:t xml:space="preserve">A </w:t>
      </w:r>
      <w:proofErr w:type="gramStart"/>
      <w:r w:rsidR="00443C33">
        <w:rPr>
          <w:b/>
          <w:sz w:val="24"/>
        </w:rPr>
        <w:t>girl</w:t>
      </w:r>
      <w:r w:rsidR="00EA0118" w:rsidRPr="00B43AC4">
        <w:rPr>
          <w:b/>
          <w:sz w:val="24"/>
        </w:rPr>
        <w:t>s</w:t>
      </w:r>
      <w:proofErr w:type="gramEnd"/>
      <w:r w:rsidR="00443C33">
        <w:rPr>
          <w:b/>
          <w:sz w:val="24"/>
        </w:rPr>
        <w:t xml:space="preserve"> tennis page for 20</w:t>
      </w:r>
      <w:r w:rsidR="00FF02E0">
        <w:rPr>
          <w:b/>
          <w:sz w:val="24"/>
        </w:rPr>
        <w:t>22</w:t>
      </w:r>
      <w:r w:rsidR="00387A5A" w:rsidRPr="00B43AC4">
        <w:rPr>
          <w:b/>
          <w:sz w:val="24"/>
        </w:rPr>
        <w:t>.</w:t>
      </w:r>
    </w:p>
    <w:p w14:paraId="0DE50045" w14:textId="227D3C3F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DATE</w:t>
      </w:r>
      <w:r w:rsidR="002762F1">
        <w:rPr>
          <w:b/>
          <w:sz w:val="20"/>
        </w:rPr>
        <w:t>S</w:t>
      </w:r>
      <w:r w:rsidRPr="00B43AC4">
        <w:rPr>
          <w:b/>
          <w:sz w:val="20"/>
        </w:rPr>
        <w:t xml:space="preserve"> AND SCHEDULE:</w:t>
      </w:r>
      <w:r w:rsidR="00EA0118" w:rsidRPr="00B43AC4">
        <w:rPr>
          <w:sz w:val="20"/>
        </w:rPr>
        <w:t xml:space="preserve"> The </w:t>
      </w:r>
      <w:proofErr w:type="gramStart"/>
      <w:r w:rsidR="002762F1">
        <w:rPr>
          <w:sz w:val="20"/>
        </w:rPr>
        <w:t>girl</w:t>
      </w:r>
      <w:r w:rsidRPr="00B43AC4">
        <w:rPr>
          <w:sz w:val="20"/>
        </w:rPr>
        <w:t>s</w:t>
      </w:r>
      <w:proofErr w:type="gramEnd"/>
      <w:r w:rsidRPr="00B43AC4">
        <w:rPr>
          <w:sz w:val="20"/>
        </w:rPr>
        <w:t xml:space="preserve"> tourname</w:t>
      </w:r>
      <w:r w:rsidR="0024747A">
        <w:rPr>
          <w:sz w:val="20"/>
        </w:rPr>
        <w:t xml:space="preserve">nt will be held </w:t>
      </w:r>
      <w:r w:rsidR="00443C33">
        <w:rPr>
          <w:sz w:val="20"/>
        </w:rPr>
        <w:t>May 1</w:t>
      </w:r>
      <w:r w:rsidR="002762F1">
        <w:rPr>
          <w:sz w:val="20"/>
        </w:rPr>
        <w:t>9-20</w:t>
      </w:r>
      <w:r w:rsidR="00443C33">
        <w:rPr>
          <w:sz w:val="20"/>
        </w:rPr>
        <w:t>, 20</w:t>
      </w:r>
      <w:r w:rsidR="002762F1">
        <w:rPr>
          <w:sz w:val="20"/>
        </w:rPr>
        <w:t>22</w:t>
      </w:r>
      <w:r w:rsidRPr="00B43AC4">
        <w:rPr>
          <w:sz w:val="20"/>
        </w:rPr>
        <w:t xml:space="preserve">. </w:t>
      </w:r>
      <w:r w:rsidR="002762F1">
        <w:rPr>
          <w:sz w:val="20"/>
        </w:rPr>
        <w:t>Check in is at 7am on Thursday, May 19</w:t>
      </w:r>
      <w:r w:rsidR="002762F1" w:rsidRPr="002762F1">
        <w:rPr>
          <w:sz w:val="20"/>
          <w:vertAlign w:val="superscript"/>
        </w:rPr>
        <w:t>th</w:t>
      </w:r>
      <w:r w:rsidR="002762F1">
        <w:rPr>
          <w:sz w:val="20"/>
        </w:rPr>
        <w:t xml:space="preserve"> at the Boeing Employees Tennis Club. Matches will begin at 7:30am and all 1</w:t>
      </w:r>
      <w:r w:rsidR="002762F1" w:rsidRPr="002762F1">
        <w:rPr>
          <w:sz w:val="20"/>
          <w:vertAlign w:val="superscript"/>
        </w:rPr>
        <w:t>st</w:t>
      </w:r>
      <w:r w:rsidR="002762F1">
        <w:rPr>
          <w:sz w:val="20"/>
        </w:rPr>
        <w:t xml:space="preserve"> round matches will be played there. Weather </w:t>
      </w:r>
      <w:proofErr w:type="gramStart"/>
      <w:r w:rsidR="002762F1">
        <w:rPr>
          <w:sz w:val="20"/>
        </w:rPr>
        <w:t>permitting</w:t>
      </w:r>
      <w:proofErr w:type="gramEnd"/>
      <w:r w:rsidR="002762F1">
        <w:rPr>
          <w:sz w:val="20"/>
        </w:rPr>
        <w:t xml:space="preserve"> we will then move to Auburn High School where we will finish the tournament. Boeing will be used as needed. </w:t>
      </w:r>
      <w:r w:rsidRPr="00B43AC4">
        <w:rPr>
          <w:sz w:val="20"/>
        </w:rPr>
        <w:t xml:space="preserve">All </w:t>
      </w:r>
      <w:r w:rsidR="00387A5A" w:rsidRPr="00B43AC4">
        <w:rPr>
          <w:sz w:val="20"/>
        </w:rPr>
        <w:t xml:space="preserve">tournament </w:t>
      </w:r>
      <w:r w:rsidRPr="00B43AC4">
        <w:rPr>
          <w:sz w:val="20"/>
        </w:rPr>
        <w:t xml:space="preserve">times </w:t>
      </w:r>
      <w:r w:rsidR="002762F1">
        <w:rPr>
          <w:sz w:val="20"/>
        </w:rPr>
        <w:t xml:space="preserve">and locations </w:t>
      </w:r>
      <w:r w:rsidRPr="00B43AC4">
        <w:rPr>
          <w:sz w:val="20"/>
        </w:rPr>
        <w:t>will be posted on the draws.</w:t>
      </w:r>
    </w:p>
    <w:p w14:paraId="2548140F" w14:textId="1F89B22D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LOCATION</w:t>
      </w:r>
      <w:r w:rsidR="002762F1">
        <w:rPr>
          <w:b/>
          <w:sz w:val="20"/>
        </w:rPr>
        <w:t>S</w:t>
      </w:r>
      <w:r w:rsidRPr="00B43AC4">
        <w:rPr>
          <w:b/>
          <w:sz w:val="20"/>
        </w:rPr>
        <w:t>:</w:t>
      </w:r>
      <w:r w:rsidRPr="00B43AC4">
        <w:rPr>
          <w:sz w:val="20"/>
        </w:rPr>
        <w:t xml:space="preserve"> </w:t>
      </w:r>
      <w:r w:rsidR="009A626B" w:rsidRPr="00B43AC4">
        <w:rPr>
          <w:sz w:val="20"/>
        </w:rPr>
        <w:t xml:space="preserve">All matches will </w:t>
      </w:r>
      <w:r w:rsidR="00C52E42">
        <w:rPr>
          <w:sz w:val="20"/>
        </w:rPr>
        <w:t>start</w:t>
      </w:r>
      <w:r w:rsidR="009A626B" w:rsidRPr="00B43AC4">
        <w:rPr>
          <w:sz w:val="20"/>
        </w:rPr>
        <w:t xml:space="preserve"> at the Boeing Employees Tennis Club</w:t>
      </w:r>
      <w:r w:rsidRPr="00B43AC4">
        <w:rPr>
          <w:sz w:val="20"/>
        </w:rPr>
        <w:t xml:space="preserve"> </w:t>
      </w:r>
      <w:r w:rsidR="009A626B" w:rsidRPr="00B43AC4">
        <w:rPr>
          <w:sz w:val="20"/>
        </w:rPr>
        <w:t>6727 S. 199</w:t>
      </w:r>
      <w:r w:rsidR="009A626B" w:rsidRPr="00B43AC4">
        <w:rPr>
          <w:sz w:val="20"/>
          <w:vertAlign w:val="superscript"/>
        </w:rPr>
        <w:t>th</w:t>
      </w:r>
      <w:r w:rsidR="009A626B" w:rsidRPr="00B43AC4">
        <w:rPr>
          <w:sz w:val="20"/>
        </w:rPr>
        <w:t xml:space="preserve"> Pl, Kent, WA, 98032</w:t>
      </w:r>
      <w:r w:rsidR="002762F1">
        <w:rPr>
          <w:sz w:val="20"/>
        </w:rPr>
        <w:t xml:space="preserve"> and </w:t>
      </w:r>
      <w:r w:rsidR="00C52E42">
        <w:rPr>
          <w:sz w:val="20"/>
        </w:rPr>
        <w:t xml:space="preserve">then, weather permitting we will move to </w:t>
      </w:r>
      <w:r w:rsidR="002762F1">
        <w:rPr>
          <w:sz w:val="20"/>
        </w:rPr>
        <w:t>Auburn High School</w:t>
      </w:r>
      <w:r w:rsidR="00C52E42">
        <w:rPr>
          <w:sz w:val="20"/>
        </w:rPr>
        <w:t>, 711 E. Main St. Auburn, WA, 98002</w:t>
      </w:r>
      <w:r w:rsidR="009A626B" w:rsidRPr="00B43AC4">
        <w:rPr>
          <w:sz w:val="20"/>
        </w:rPr>
        <w:t>.</w:t>
      </w:r>
      <w:r w:rsidR="00EA0118" w:rsidRPr="00B43AC4">
        <w:rPr>
          <w:sz w:val="20"/>
        </w:rPr>
        <w:t xml:space="preserve"> </w:t>
      </w:r>
      <w:r w:rsidR="009A626B" w:rsidRPr="00B43AC4">
        <w:rPr>
          <w:sz w:val="20"/>
        </w:rPr>
        <w:br/>
      </w:r>
      <w:r w:rsidR="009A626B" w:rsidRPr="00B43AC4">
        <w:rPr>
          <w:sz w:val="20"/>
        </w:rPr>
        <w:br/>
      </w:r>
      <w:r w:rsidR="009A626B" w:rsidRPr="00B43AC4">
        <w:rPr>
          <w:b/>
          <w:sz w:val="20"/>
        </w:rPr>
        <w:t xml:space="preserve">WEBSITE:  </w:t>
      </w:r>
      <w:r w:rsidRPr="00B43AC4">
        <w:rPr>
          <w:sz w:val="20"/>
        </w:rPr>
        <w:t xml:space="preserve"> </w:t>
      </w:r>
      <w:hyperlink r:id="rId5" w:history="1">
        <w:r w:rsidR="009A626B" w:rsidRPr="00B43AC4">
          <w:rPr>
            <w:rStyle w:val="Hyperlink"/>
            <w:sz w:val="20"/>
          </w:rPr>
          <w:t>www.betconline.net</w:t>
        </w:r>
      </w:hyperlink>
      <w:r w:rsidR="009A626B" w:rsidRPr="00B43AC4">
        <w:rPr>
          <w:sz w:val="20"/>
        </w:rPr>
        <w:t xml:space="preserve"> </w:t>
      </w:r>
    </w:p>
    <w:p w14:paraId="593657BE" w14:textId="43D78F8F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TOURNAMENT DIRECTOR:</w:t>
      </w:r>
      <w:r w:rsidRPr="00B43AC4">
        <w:rPr>
          <w:sz w:val="20"/>
        </w:rPr>
        <w:t xml:space="preserve"> Andrew Buchan 206-300-2008, </w:t>
      </w:r>
      <w:hyperlink r:id="rId6" w:history="1">
        <w:r w:rsidRPr="00B43AC4">
          <w:rPr>
            <w:rStyle w:val="Hyperlink"/>
            <w:sz w:val="20"/>
          </w:rPr>
          <w:t>andrew@teambuchan.com</w:t>
        </w:r>
      </w:hyperlink>
      <w:r w:rsidR="00C52E42">
        <w:rPr>
          <w:sz w:val="20"/>
        </w:rPr>
        <w:t xml:space="preserve">. Kay Lorrain will be assisting me. </w:t>
      </w:r>
      <w:r w:rsidRPr="00B43AC4">
        <w:rPr>
          <w:sz w:val="20"/>
        </w:rPr>
        <w:t xml:space="preserve">An </w:t>
      </w:r>
      <w:r w:rsidR="00387A5A" w:rsidRPr="00B43AC4">
        <w:rPr>
          <w:sz w:val="20"/>
        </w:rPr>
        <w:t>appeals committee made up of one coach</w:t>
      </w:r>
      <w:r w:rsidRPr="00B43AC4">
        <w:rPr>
          <w:sz w:val="20"/>
        </w:rPr>
        <w:t xml:space="preserve"> from the S</w:t>
      </w:r>
      <w:r w:rsidR="00C52E42">
        <w:rPr>
          <w:sz w:val="20"/>
        </w:rPr>
        <w:t>SC</w:t>
      </w:r>
      <w:r w:rsidR="00387A5A" w:rsidRPr="00B43AC4">
        <w:rPr>
          <w:sz w:val="20"/>
        </w:rPr>
        <w:t xml:space="preserve">, one coach from the NPSL, </w:t>
      </w:r>
      <w:r w:rsidR="00C52E42">
        <w:rPr>
          <w:sz w:val="20"/>
        </w:rPr>
        <w:t xml:space="preserve">one coach from the PCL, </w:t>
      </w:r>
      <w:r w:rsidR="00387A5A" w:rsidRPr="00B43AC4">
        <w:rPr>
          <w:sz w:val="20"/>
        </w:rPr>
        <w:t>and one coach from GSHL will be determined prior to the tournament</w:t>
      </w:r>
      <w:r w:rsidRPr="00B43AC4">
        <w:rPr>
          <w:sz w:val="20"/>
        </w:rPr>
        <w:t>.</w:t>
      </w:r>
    </w:p>
    <w:p w14:paraId="14D0FB21" w14:textId="77777777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ADMISSION:</w:t>
      </w:r>
      <w:r w:rsidRPr="00B43AC4">
        <w:rPr>
          <w:sz w:val="20"/>
        </w:rPr>
        <w:t xml:space="preserve"> No charge for admission. Each entry will be assessed a fee of $25 by the WCD. </w:t>
      </w:r>
      <w:proofErr w:type="gramStart"/>
      <w:r w:rsidRPr="00B43AC4">
        <w:rPr>
          <w:sz w:val="20"/>
        </w:rPr>
        <w:t>Additionally</w:t>
      </w:r>
      <w:proofErr w:type="gramEnd"/>
      <w:r w:rsidRPr="00B43AC4">
        <w:rPr>
          <w:sz w:val="20"/>
        </w:rPr>
        <w:t xml:space="preserve"> each entry must bring two cans of tennis balls.</w:t>
      </w:r>
    </w:p>
    <w:p w14:paraId="303ED211" w14:textId="77777777" w:rsidR="003E0F51" w:rsidRPr="00B43AC4" w:rsidRDefault="003E0F51">
      <w:pPr>
        <w:rPr>
          <w:b/>
          <w:sz w:val="20"/>
        </w:rPr>
      </w:pPr>
      <w:r w:rsidRPr="00B43AC4">
        <w:rPr>
          <w:b/>
          <w:sz w:val="20"/>
        </w:rPr>
        <w:t>RULES OF PLAY:</w:t>
      </w:r>
    </w:p>
    <w:p w14:paraId="750DAF0A" w14:textId="77777777" w:rsidR="003E0F51" w:rsidRPr="00B43AC4" w:rsidRDefault="003E0F51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 xml:space="preserve">All participants in a specific match must report to the site official before his/her/their match for court assignment and balls. At the conclusion of the match winners and losers </w:t>
      </w:r>
      <w:r w:rsidR="00AF51A8" w:rsidRPr="00B43AC4">
        <w:rPr>
          <w:sz w:val="20"/>
        </w:rPr>
        <w:t>if not eliminated must report back to the desk.</w:t>
      </w:r>
    </w:p>
    <w:p w14:paraId="2900FCCF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Rules of Tennis and Cases and Decisions and The Code, both sanctioned by the USTA will govern play.</w:t>
      </w:r>
    </w:p>
    <w:p w14:paraId="25EF5383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W.I.A.A. supersedes the USTA rulebook on coaching in that it allows a two-minute break between the first and second set for the coach to speak with his/her player(s). Do not leave the court. Only one coach or coach designee may talk to the player(s). If there is a third set, then a ten-minute break is allowed. Players may leave the court at that time.</w:t>
      </w:r>
    </w:p>
    <w:p w14:paraId="696398E9" w14:textId="77777777" w:rsidR="00AF51A8" w:rsidRPr="00B43AC4" w:rsidRDefault="009A626B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Five</w:t>
      </w:r>
      <w:r w:rsidR="00AF51A8" w:rsidRPr="00B43AC4">
        <w:rPr>
          <w:sz w:val="20"/>
        </w:rPr>
        <w:t>-minute warm-up includes serves.</w:t>
      </w:r>
    </w:p>
    <w:p w14:paraId="2CEE180F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New balls will be issued in the third set for winner’s bracket semifinals and the championship matches.</w:t>
      </w:r>
    </w:p>
    <w:p w14:paraId="451DC320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Make all calls on your side of the net only. Make them quickly, loudly, honestly, and accompany them with a hand signal.</w:t>
      </w:r>
    </w:p>
    <w:p w14:paraId="21D38E00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point penalty system will be in effect. The first infraction will result in the loss of a point. The second infraction will result in loss of a game. The third will result in a default of the offender. A default will result in the application of W.I.A.A. handbook rule 18.24.2. The defaulted player will be ineligible for his/her next contest.</w:t>
      </w:r>
    </w:p>
    <w:p w14:paraId="4BFB54A4" w14:textId="77777777" w:rsidR="009A626B" w:rsidRPr="00B43AC4" w:rsidRDefault="00AF51A8" w:rsidP="009A626B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Appropriate tennis attire is expected of all participants as approved by the W.I.A.A. and individual schools.</w:t>
      </w:r>
    </w:p>
    <w:p w14:paraId="03EAEBBA" w14:textId="410B6768" w:rsidR="00EA0118" w:rsidRPr="00B43AC4" w:rsidRDefault="009A626B" w:rsidP="00AF51A8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 xml:space="preserve">The ten-point tiebreaker </w:t>
      </w:r>
      <w:r w:rsidR="0092159C">
        <w:rPr>
          <w:sz w:val="20"/>
        </w:rPr>
        <w:t>may</w:t>
      </w:r>
      <w:r w:rsidRPr="00B43AC4">
        <w:rPr>
          <w:sz w:val="20"/>
        </w:rPr>
        <w:t xml:space="preserve"> be used in place of the thi</w:t>
      </w:r>
      <w:r w:rsidR="004116F1" w:rsidRPr="00B43AC4">
        <w:rPr>
          <w:sz w:val="20"/>
        </w:rPr>
        <w:t xml:space="preserve">rd set </w:t>
      </w:r>
      <w:r w:rsidR="0092159C">
        <w:rPr>
          <w:sz w:val="20"/>
        </w:rPr>
        <w:t>if weather is poor.</w:t>
      </w:r>
    </w:p>
    <w:p w14:paraId="6661F15F" w14:textId="264EB0D1" w:rsidR="00AF51A8" w:rsidRPr="00B43AC4" w:rsidRDefault="00AF51A8" w:rsidP="00AF51A8">
      <w:pPr>
        <w:rPr>
          <w:b/>
          <w:sz w:val="20"/>
        </w:rPr>
      </w:pPr>
      <w:r w:rsidRPr="00B43AC4">
        <w:rPr>
          <w:b/>
          <w:sz w:val="20"/>
        </w:rPr>
        <w:t>TEAM SCORING</w:t>
      </w:r>
      <w:r w:rsidR="00443C33">
        <w:rPr>
          <w:b/>
          <w:sz w:val="20"/>
        </w:rPr>
        <w:t xml:space="preserve"> (top </w:t>
      </w:r>
      <w:r w:rsidR="00C52E42">
        <w:rPr>
          <w:b/>
          <w:sz w:val="20"/>
        </w:rPr>
        <w:t>7</w:t>
      </w:r>
      <w:r w:rsidR="00B43AC4">
        <w:rPr>
          <w:b/>
          <w:sz w:val="20"/>
        </w:rPr>
        <w:t xml:space="preserve"> go to state</w:t>
      </w:r>
      <w:r w:rsidR="0024747A">
        <w:rPr>
          <w:b/>
          <w:sz w:val="20"/>
        </w:rPr>
        <w:t>)</w:t>
      </w:r>
      <w:r w:rsidRPr="00B43AC4">
        <w:rPr>
          <w:b/>
          <w:sz w:val="20"/>
        </w:rPr>
        <w:t xml:space="preserve">: </w:t>
      </w:r>
    </w:p>
    <w:p w14:paraId="5675A932" w14:textId="77777777" w:rsidR="00AF51A8" w:rsidRPr="00B43AC4" w:rsidRDefault="00AF51A8" w:rsidP="00AF51A8">
      <w:pPr>
        <w:rPr>
          <w:sz w:val="20"/>
        </w:rPr>
      </w:pPr>
      <w:r w:rsidRPr="00B43AC4">
        <w:rPr>
          <w:sz w:val="20"/>
        </w:rPr>
        <w:t>1</w:t>
      </w:r>
      <w:r w:rsidRPr="00B43AC4">
        <w:rPr>
          <w:sz w:val="20"/>
          <w:vertAlign w:val="superscript"/>
        </w:rPr>
        <w:t>st</w:t>
      </w:r>
      <w:r w:rsidRPr="00B43AC4">
        <w:rPr>
          <w:sz w:val="20"/>
        </w:rPr>
        <w:t xml:space="preserve"> place—10 points</w:t>
      </w:r>
      <w:r w:rsidRPr="00B43AC4">
        <w:rPr>
          <w:sz w:val="20"/>
        </w:rPr>
        <w:br/>
        <w:t>2</w:t>
      </w:r>
      <w:r w:rsidRPr="00B43AC4">
        <w:rPr>
          <w:sz w:val="20"/>
          <w:vertAlign w:val="superscript"/>
        </w:rPr>
        <w:t>nd</w:t>
      </w:r>
      <w:r w:rsidRPr="00B43AC4">
        <w:rPr>
          <w:sz w:val="20"/>
        </w:rPr>
        <w:t xml:space="preserve"> place—9 points</w:t>
      </w:r>
      <w:r w:rsidRPr="00B43AC4">
        <w:rPr>
          <w:sz w:val="20"/>
        </w:rPr>
        <w:br/>
        <w:t>3</w:t>
      </w:r>
      <w:r w:rsidRPr="00B43AC4">
        <w:rPr>
          <w:sz w:val="20"/>
          <w:vertAlign w:val="superscript"/>
        </w:rPr>
        <w:t>rd</w:t>
      </w:r>
      <w:r w:rsidRPr="00B43AC4">
        <w:rPr>
          <w:sz w:val="20"/>
        </w:rPr>
        <w:t xml:space="preserve"> place—8 points</w:t>
      </w:r>
      <w:r w:rsidRPr="00B43AC4">
        <w:rPr>
          <w:sz w:val="20"/>
        </w:rPr>
        <w:br/>
        <w:t>4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place—7 points</w:t>
      </w:r>
      <w:r w:rsidRPr="00B43AC4">
        <w:rPr>
          <w:sz w:val="20"/>
        </w:rPr>
        <w:br/>
        <w:t>5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place—6 points</w:t>
      </w:r>
      <w:r w:rsidRPr="00B43AC4">
        <w:rPr>
          <w:sz w:val="20"/>
        </w:rPr>
        <w:br/>
        <w:t>6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place—5 points</w:t>
      </w:r>
      <w:r w:rsidRPr="00B43AC4">
        <w:rPr>
          <w:sz w:val="20"/>
        </w:rPr>
        <w:br/>
        <w:t>7</w:t>
      </w:r>
      <w:r w:rsidRPr="00B43AC4">
        <w:rPr>
          <w:sz w:val="20"/>
          <w:vertAlign w:val="superscript"/>
        </w:rPr>
        <w:t>th</w:t>
      </w:r>
      <w:r w:rsidR="001A02E6" w:rsidRPr="00B43AC4">
        <w:rPr>
          <w:sz w:val="20"/>
        </w:rPr>
        <w:t xml:space="preserve"> place—4</w:t>
      </w:r>
      <w:r w:rsidRPr="00B43AC4">
        <w:rPr>
          <w:sz w:val="20"/>
        </w:rPr>
        <w:t xml:space="preserve"> points</w:t>
      </w:r>
      <w:r w:rsidR="001A02E6" w:rsidRPr="00B43AC4">
        <w:rPr>
          <w:sz w:val="20"/>
        </w:rPr>
        <w:br/>
        <w:t>8</w:t>
      </w:r>
      <w:r w:rsidR="001A02E6" w:rsidRPr="00B43AC4">
        <w:rPr>
          <w:sz w:val="20"/>
          <w:vertAlign w:val="superscript"/>
        </w:rPr>
        <w:t>th</w:t>
      </w:r>
      <w:r w:rsidR="001A02E6" w:rsidRPr="00B43AC4">
        <w:rPr>
          <w:sz w:val="20"/>
        </w:rPr>
        <w:t xml:space="preserve"> place—3 points</w:t>
      </w:r>
      <w:r w:rsidRPr="00B43AC4">
        <w:rPr>
          <w:sz w:val="20"/>
        </w:rPr>
        <w:br/>
        <w:t>9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>-12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places—2 points</w:t>
      </w:r>
    </w:p>
    <w:sectPr w:rsidR="00AF51A8" w:rsidRPr="00B4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F3C"/>
    <w:multiLevelType w:val="hybridMultilevel"/>
    <w:tmpl w:val="930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DEC"/>
    <w:multiLevelType w:val="hybridMultilevel"/>
    <w:tmpl w:val="8032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49276">
    <w:abstractNumId w:val="0"/>
  </w:num>
  <w:num w:numId="2" w16cid:durableId="5806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51"/>
    <w:rsid w:val="001669E6"/>
    <w:rsid w:val="001A02E6"/>
    <w:rsid w:val="0024747A"/>
    <w:rsid w:val="002762F1"/>
    <w:rsid w:val="00387A5A"/>
    <w:rsid w:val="003E0F51"/>
    <w:rsid w:val="003F4BFD"/>
    <w:rsid w:val="004116F1"/>
    <w:rsid w:val="00443C33"/>
    <w:rsid w:val="005C1AD3"/>
    <w:rsid w:val="00707C66"/>
    <w:rsid w:val="0092159C"/>
    <w:rsid w:val="009A626B"/>
    <w:rsid w:val="00AF51A8"/>
    <w:rsid w:val="00B43AC4"/>
    <w:rsid w:val="00C52E42"/>
    <w:rsid w:val="00EA0118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8402"/>
  <w15:chartTrackingRefBased/>
  <w15:docId w15:val="{FD3DC0BC-7DDD-43FF-A157-34084ED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@teambuchan.com" TargetMode="External"/><Relationship Id="rId5" Type="http://schemas.openxmlformats.org/officeDocument/2006/relationships/hyperlink" Target="http://www.betc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Buchan</dc:creator>
  <cp:keywords/>
  <dc:description/>
  <cp:lastModifiedBy>Joseph Keller</cp:lastModifiedBy>
  <cp:revision>2</cp:revision>
  <dcterms:created xsi:type="dcterms:W3CDTF">2022-04-28T04:22:00Z</dcterms:created>
  <dcterms:modified xsi:type="dcterms:W3CDTF">2022-04-28T04:22:00Z</dcterms:modified>
</cp:coreProperties>
</file>